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FD4239" w14:textId="0E30005C" w:rsidR="00C1593C" w:rsidRPr="00465EB1" w:rsidRDefault="00181638">
      <w:pPr>
        <w:pStyle w:val="Sprechblasentext"/>
        <w:tabs>
          <w:tab w:val="left" w:pos="3514"/>
          <w:tab w:val="left" w:pos="6033"/>
        </w:tabs>
        <w:spacing w:line="360" w:lineRule="exact"/>
        <w:rPr>
          <w:rFonts w:ascii="Arial" w:hAnsi="Arial" w:cs="Arial"/>
          <w:sz w:val="22"/>
          <w:szCs w:val="22"/>
        </w:rPr>
      </w:pPr>
      <w:r>
        <w:rPr>
          <w:noProof/>
        </w:rPr>
        <w:drawing>
          <wp:anchor distT="0" distB="0" distL="114300" distR="114300" simplePos="0" relativeHeight="251658240" behindDoc="0" locked="0" layoutInCell="1" allowOverlap="1" wp14:anchorId="076C52EA" wp14:editId="61B59214">
            <wp:simplePos x="0" y="0"/>
            <wp:positionH relativeFrom="leftMargin">
              <wp:align>right</wp:align>
            </wp:positionH>
            <wp:positionV relativeFrom="paragraph">
              <wp:posOffset>-564515</wp:posOffset>
            </wp:positionV>
            <wp:extent cx="1640205" cy="704850"/>
            <wp:effectExtent l="0" t="0" r="0" b="0"/>
            <wp:wrapNone/>
            <wp:docPr id="1" name="Bild 2"/>
            <wp:cNvGraphicFramePr/>
            <a:graphic xmlns:a="http://schemas.openxmlformats.org/drawingml/2006/main">
              <a:graphicData uri="http://schemas.openxmlformats.org/drawingml/2006/picture">
                <pic:pic xmlns:pic="http://schemas.openxmlformats.org/drawingml/2006/picture">
                  <pic:nvPicPr>
                    <pic:cNvPr id="3" name="Bild 2"/>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640205" cy="7048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sz w:val="18"/>
          <w:szCs w:val="18"/>
        </w:rPr>
        <w:tab/>
        <w:t xml:space="preserve">                                   </w:t>
      </w:r>
      <w:r w:rsidR="007B3653">
        <w:rPr>
          <w:rFonts w:ascii="Arial" w:hAnsi="Arial" w:cs="Arial"/>
          <w:sz w:val="18"/>
          <w:szCs w:val="18"/>
        </w:rPr>
        <w:t>September</w:t>
      </w:r>
      <w:r>
        <w:rPr>
          <w:rFonts w:ascii="Arial" w:hAnsi="Arial" w:cs="Arial"/>
          <w:sz w:val="18"/>
          <w:szCs w:val="18"/>
        </w:rPr>
        <w:t xml:space="preserve"> 202</w:t>
      </w:r>
      <w:r w:rsidR="00226C79">
        <w:rPr>
          <w:rFonts w:ascii="Arial" w:hAnsi="Arial" w:cs="Arial"/>
          <w:sz w:val="18"/>
          <w:szCs w:val="18"/>
        </w:rPr>
        <w:t>4</w:t>
      </w:r>
      <w:r w:rsidRPr="00465EB1">
        <w:rPr>
          <w:rFonts w:ascii="Arial" w:hAnsi="Arial" w:cs="Arial"/>
          <w:sz w:val="22"/>
          <w:szCs w:val="22"/>
        </w:rPr>
        <w:tab/>
      </w:r>
    </w:p>
    <w:p w14:paraId="4FC54461" w14:textId="4489B1D1" w:rsidR="00C1593C" w:rsidRDefault="007B3653">
      <w:pPr>
        <w:spacing w:line="340" w:lineRule="exact"/>
        <w:rPr>
          <w:rFonts w:ascii="Arial" w:hAnsi="Arial" w:cs="Arial"/>
          <w:bCs/>
          <w:sz w:val="22"/>
          <w:szCs w:val="22"/>
        </w:rPr>
      </w:pPr>
      <w:r w:rsidRPr="007B3653">
        <w:rPr>
          <w:rFonts w:ascii="Arial" w:hAnsi="Arial" w:cs="Arial"/>
          <w:b/>
          <w:bCs/>
          <w:sz w:val="28"/>
          <w:szCs w:val="28"/>
          <w:u w:val="single"/>
        </w:rPr>
        <w:t>Hottgenroth präsentiert innovative Lösungen für SHK- und Elektrohandwerk auf der GET NORD 2024</w:t>
      </w:r>
    </w:p>
    <w:p w14:paraId="34E38D11" w14:textId="6684946E" w:rsidR="007B3653" w:rsidRPr="007B3653" w:rsidRDefault="00F6511D" w:rsidP="007B3653">
      <w:pPr>
        <w:pStyle w:val="AbsatzFett"/>
        <w:spacing w:line="360" w:lineRule="exact"/>
        <w:contextualSpacing/>
        <w:rPr>
          <w:rFonts w:ascii="Arial" w:hAnsi="Arial"/>
          <w:b w:val="0"/>
          <w:bCs/>
          <w:sz w:val="22"/>
          <w:szCs w:val="18"/>
        </w:rPr>
      </w:pPr>
      <w:bookmarkStart w:id="0" w:name="_Hlk158116398"/>
      <w:r>
        <w:rPr>
          <w:rFonts w:ascii="Arial" w:hAnsi="Arial"/>
          <w:sz w:val="22"/>
          <w:szCs w:val="18"/>
        </w:rPr>
        <w:t>30</w:t>
      </w:r>
      <w:r w:rsidR="00465EB1" w:rsidRPr="00465EB1">
        <w:rPr>
          <w:rFonts w:ascii="Arial" w:hAnsi="Arial"/>
          <w:sz w:val="22"/>
          <w:szCs w:val="18"/>
        </w:rPr>
        <w:t>.0</w:t>
      </w:r>
      <w:r w:rsidR="007B3653">
        <w:rPr>
          <w:rFonts w:ascii="Arial" w:hAnsi="Arial"/>
          <w:sz w:val="22"/>
          <w:szCs w:val="18"/>
        </w:rPr>
        <w:t>9</w:t>
      </w:r>
      <w:r w:rsidR="00465EB1" w:rsidRPr="00465EB1">
        <w:rPr>
          <w:rFonts w:ascii="Arial" w:hAnsi="Arial"/>
          <w:sz w:val="22"/>
          <w:szCs w:val="18"/>
        </w:rPr>
        <w:t xml:space="preserve">.24, Köln: </w:t>
      </w:r>
      <w:r w:rsidR="007B3653" w:rsidRPr="007B3653">
        <w:rPr>
          <w:rFonts w:ascii="Arial" w:hAnsi="Arial"/>
          <w:b w:val="0"/>
          <w:bCs/>
          <w:sz w:val="22"/>
          <w:szCs w:val="18"/>
        </w:rPr>
        <w:t>Vom 21. – 23. November 2024 öffnet die GET NORD wieder ihre Türen und erwartet 40.000 Fachbesucher aus der Sanitär-, Heizungs-, Klima- und Elektrobranche. Neben den bekannten Themen der Gebäudesystemtechnik, Energieeffizienz und technischen Gebäudeausstattung stehen dieses Jahr auch erneuerbare Energien und vernetzte Haustechnik auf dem Plan.</w:t>
      </w:r>
    </w:p>
    <w:p w14:paraId="71AA5D2F" w14:textId="18A796B3" w:rsidR="00E16D93" w:rsidRDefault="007B3653" w:rsidP="007B3653">
      <w:pPr>
        <w:pStyle w:val="AbsatzFett"/>
        <w:spacing w:line="360" w:lineRule="exact"/>
        <w:contextualSpacing/>
        <w:rPr>
          <w:rFonts w:ascii="Arial" w:hAnsi="Arial"/>
          <w:b w:val="0"/>
          <w:bCs/>
          <w:sz w:val="22"/>
          <w:szCs w:val="18"/>
        </w:rPr>
      </w:pPr>
      <w:r w:rsidRPr="007B3653">
        <w:rPr>
          <w:rFonts w:ascii="Arial" w:hAnsi="Arial"/>
          <w:b w:val="0"/>
          <w:bCs/>
          <w:sz w:val="22"/>
          <w:szCs w:val="18"/>
        </w:rPr>
        <w:t>Die Hottgenroth Gruppe präsentiert vor Ort ihre Softwarelösungen zur energetischen Gebäudeplanung und klimafreundlichen Bestandssanierung. Die Programme werden von Handwerkern und Planern für die Beratung bei Bauvorhaben sowie Planung und Auslegung von HKLS-Systemen verwendet.</w:t>
      </w:r>
    </w:p>
    <w:bookmarkEnd w:id="0"/>
    <w:p w14:paraId="30593EFE" w14:textId="2C968A9F" w:rsidR="00465EB1" w:rsidRPr="00465EB1" w:rsidRDefault="007B3653" w:rsidP="00465EB1">
      <w:pPr>
        <w:pStyle w:val="berschrift1"/>
        <w:shd w:val="clear" w:color="auto" w:fill="FFFFFF"/>
        <w:spacing w:before="300" w:after="150"/>
        <w:rPr>
          <w:rFonts w:ascii="Arial" w:hAnsi="Arial" w:cs="Arial"/>
          <w:color w:val="333333"/>
          <w:sz w:val="22"/>
          <w:szCs w:val="22"/>
        </w:rPr>
      </w:pPr>
      <w:r w:rsidRPr="007B3653">
        <w:rPr>
          <w:rFonts w:ascii="Arial" w:hAnsi="Arial" w:cs="Arial"/>
          <w:color w:val="333333"/>
          <w:sz w:val="22"/>
          <w:szCs w:val="22"/>
        </w:rPr>
        <w:t>Heizungstausch mit Hottgenroth</w:t>
      </w:r>
      <w:r w:rsidR="00465EB1">
        <w:rPr>
          <w:rFonts w:ascii="Source Sans Pro" w:hAnsi="Source Sans Pro"/>
          <w:color w:val="333333"/>
          <w:sz w:val="23"/>
          <w:szCs w:val="23"/>
        </w:rPr>
        <w:br/>
      </w:r>
    </w:p>
    <w:p w14:paraId="3D29B7CC" w14:textId="55E00170" w:rsidR="007B3653" w:rsidRPr="007B3653" w:rsidRDefault="007B3653" w:rsidP="007B3653">
      <w:pPr>
        <w:spacing w:line="360" w:lineRule="auto"/>
        <w:rPr>
          <w:rFonts w:ascii="Arial" w:hAnsi="Arial" w:cs="Arial"/>
          <w:sz w:val="22"/>
          <w:szCs w:val="22"/>
        </w:rPr>
      </w:pPr>
      <w:r w:rsidRPr="007B3653">
        <w:rPr>
          <w:rFonts w:ascii="Arial" w:hAnsi="Arial" w:cs="Arial"/>
          <w:sz w:val="22"/>
          <w:szCs w:val="22"/>
        </w:rPr>
        <w:t xml:space="preserve">Das SHK-Handwerk steht durch das Gebäudeenergiegesetz (GEG) 2024 und die Richtlinien der Bundesförderung für effiziente Gebäude (BEG) vor vielen neuen Aufgaben. Um </w:t>
      </w:r>
      <w:r w:rsidR="0074275D">
        <w:rPr>
          <w:rFonts w:ascii="Arial" w:hAnsi="Arial" w:cs="Arial"/>
          <w:sz w:val="22"/>
          <w:szCs w:val="22"/>
        </w:rPr>
        <w:t xml:space="preserve">beispielsweise </w:t>
      </w:r>
      <w:r w:rsidRPr="007B3653">
        <w:rPr>
          <w:rFonts w:ascii="Arial" w:hAnsi="Arial" w:cs="Arial"/>
          <w:sz w:val="22"/>
          <w:szCs w:val="22"/>
        </w:rPr>
        <w:t xml:space="preserve">dem geforderten Einsatz von erneuerbaren Energien </w:t>
      </w:r>
      <w:r w:rsidR="0074275D">
        <w:rPr>
          <w:rFonts w:ascii="Arial" w:hAnsi="Arial" w:cs="Arial"/>
          <w:sz w:val="22"/>
          <w:szCs w:val="22"/>
        </w:rPr>
        <w:t xml:space="preserve">beim Heizungstausch </w:t>
      </w:r>
      <w:r w:rsidRPr="007B3653">
        <w:rPr>
          <w:rFonts w:ascii="Arial" w:hAnsi="Arial" w:cs="Arial"/>
          <w:sz w:val="22"/>
          <w:szCs w:val="22"/>
        </w:rPr>
        <w:t>nachzukommen, werden innovative Lösungen benötigt, die eine präzise und effiziente Berechnung der geplanten Systeme ermöglichen.</w:t>
      </w:r>
    </w:p>
    <w:p w14:paraId="047CE2E8" w14:textId="733CBF5F" w:rsidR="007B3653" w:rsidRPr="007B3653" w:rsidRDefault="007B3653" w:rsidP="007B3653">
      <w:pPr>
        <w:spacing w:line="360" w:lineRule="auto"/>
        <w:rPr>
          <w:rFonts w:ascii="Arial" w:hAnsi="Arial" w:cs="Arial"/>
          <w:sz w:val="22"/>
          <w:szCs w:val="22"/>
        </w:rPr>
      </w:pPr>
      <w:r w:rsidRPr="007B3653">
        <w:rPr>
          <w:rFonts w:ascii="Arial" w:hAnsi="Arial" w:cs="Arial"/>
          <w:sz w:val="22"/>
          <w:szCs w:val="22"/>
        </w:rPr>
        <w:t>An dieser Stelle setzt Hottgenroth mit ihrer Software an</w:t>
      </w:r>
      <w:r w:rsidR="0074275D">
        <w:rPr>
          <w:rFonts w:ascii="Arial" w:hAnsi="Arial" w:cs="Arial"/>
          <w:sz w:val="22"/>
          <w:szCs w:val="22"/>
        </w:rPr>
        <w:t>:</w:t>
      </w:r>
      <w:r w:rsidRPr="007B3653">
        <w:rPr>
          <w:rFonts w:ascii="Arial" w:hAnsi="Arial" w:cs="Arial"/>
          <w:sz w:val="22"/>
          <w:szCs w:val="22"/>
        </w:rPr>
        <w:t xml:space="preserve"> Von der digitalen Gebäudeerfassung bis zur Berechnung der Anteile an erneuerbarer Energie </w:t>
      </w:r>
      <w:r w:rsidR="0074275D">
        <w:rPr>
          <w:rFonts w:ascii="Arial" w:hAnsi="Arial" w:cs="Arial"/>
          <w:sz w:val="22"/>
          <w:szCs w:val="22"/>
        </w:rPr>
        <w:t xml:space="preserve">werden </w:t>
      </w:r>
      <w:r w:rsidRPr="007B3653">
        <w:rPr>
          <w:rFonts w:ascii="Arial" w:hAnsi="Arial" w:cs="Arial"/>
          <w:sz w:val="22"/>
          <w:szCs w:val="22"/>
        </w:rPr>
        <w:t>intuitive Lösungen</w:t>
      </w:r>
      <w:r w:rsidR="0074275D">
        <w:rPr>
          <w:rFonts w:ascii="Arial" w:hAnsi="Arial" w:cs="Arial"/>
          <w:sz w:val="22"/>
          <w:szCs w:val="22"/>
        </w:rPr>
        <w:t xml:space="preserve"> angeboten</w:t>
      </w:r>
      <w:r w:rsidRPr="007B3653">
        <w:rPr>
          <w:rFonts w:ascii="Arial" w:hAnsi="Arial" w:cs="Arial"/>
          <w:sz w:val="22"/>
          <w:szCs w:val="22"/>
        </w:rPr>
        <w:t>, um Fachplaner bei ihren Tätigkeiten zu  unterstützen.</w:t>
      </w:r>
    </w:p>
    <w:p w14:paraId="1F4CBD0D" w14:textId="77777777" w:rsidR="007B3653" w:rsidRPr="00465EB1" w:rsidRDefault="007B3653" w:rsidP="007B3653">
      <w:pPr>
        <w:pStyle w:val="berschrift2"/>
        <w:shd w:val="clear" w:color="auto" w:fill="FFFFFF"/>
        <w:spacing w:before="300" w:after="150"/>
        <w:rPr>
          <w:rFonts w:ascii="Arial" w:hAnsi="Arial" w:cs="Arial"/>
          <w:color w:val="333333"/>
          <w:sz w:val="22"/>
          <w:szCs w:val="22"/>
          <w:u w:val="single"/>
        </w:rPr>
      </w:pPr>
      <w:r w:rsidRPr="00465EB1">
        <w:rPr>
          <w:rFonts w:ascii="Arial" w:hAnsi="Arial" w:cs="Arial"/>
          <w:b/>
          <w:bCs/>
          <w:color w:val="333333"/>
          <w:sz w:val="22"/>
          <w:szCs w:val="22"/>
          <w:u w:val="single"/>
        </w:rPr>
        <w:t>3D-Gebäudedaten: Die Basis für fast alle Programme von Hottgenroth</w:t>
      </w:r>
    </w:p>
    <w:p w14:paraId="442A2A82" w14:textId="62C948A6" w:rsidR="007B3653" w:rsidRPr="007B3653" w:rsidRDefault="007B3653" w:rsidP="007B3653">
      <w:pPr>
        <w:spacing w:line="360" w:lineRule="auto"/>
        <w:rPr>
          <w:rFonts w:ascii="Arial" w:hAnsi="Arial" w:cs="Arial"/>
          <w:sz w:val="22"/>
          <w:szCs w:val="22"/>
        </w:rPr>
      </w:pPr>
      <w:r w:rsidRPr="007B3653">
        <w:rPr>
          <w:rFonts w:ascii="Arial" w:hAnsi="Arial" w:cs="Arial"/>
          <w:sz w:val="22"/>
          <w:szCs w:val="22"/>
        </w:rPr>
        <w:t xml:space="preserve">Als Basis für die Berechnungen dient ein mit </w:t>
      </w:r>
      <w:r w:rsidRPr="007B3653">
        <w:rPr>
          <w:rFonts w:ascii="Arial" w:hAnsi="Arial" w:cs="Arial"/>
          <w:b/>
          <w:sz w:val="22"/>
          <w:szCs w:val="22"/>
        </w:rPr>
        <w:t>HottCAD</w:t>
      </w:r>
      <w:r w:rsidRPr="007B3653">
        <w:rPr>
          <w:rFonts w:ascii="Arial" w:hAnsi="Arial" w:cs="Arial"/>
          <w:sz w:val="22"/>
          <w:szCs w:val="22"/>
        </w:rPr>
        <w:t xml:space="preserve"> erzeugtes 3D-Gebäudemodell. Dabei wird ein Gebäude anhand von Plänen oder Messpunkten </w:t>
      </w:r>
      <w:r w:rsidR="0074275D">
        <w:rPr>
          <w:rFonts w:ascii="Arial" w:hAnsi="Arial" w:cs="Arial"/>
          <w:sz w:val="22"/>
          <w:szCs w:val="22"/>
        </w:rPr>
        <w:t>zwei</w:t>
      </w:r>
      <w:r w:rsidRPr="007B3653">
        <w:rPr>
          <w:rFonts w:ascii="Arial" w:hAnsi="Arial" w:cs="Arial"/>
          <w:sz w:val="22"/>
          <w:szCs w:val="22"/>
        </w:rPr>
        <w:t xml:space="preserve">dimensional gezeichnet und anschließend in </w:t>
      </w:r>
      <w:r w:rsidRPr="007B3653">
        <w:rPr>
          <w:rFonts w:ascii="Arial" w:hAnsi="Arial" w:cs="Arial"/>
          <w:sz w:val="22"/>
          <w:szCs w:val="22"/>
        </w:rPr>
        <w:lastRenderedPageBreak/>
        <w:t>ein 3D-Modell umgewandelt. Dank eines Datenaustauschs zwischen allen Programmen mit integriertem HottCAD kann das Modell nach einmaligem Zeichnen bei allen Berechnungen verwendet werden.</w:t>
      </w:r>
    </w:p>
    <w:p w14:paraId="20AD9319" w14:textId="5EF4E1D8" w:rsidR="007B3653" w:rsidRDefault="007B3653" w:rsidP="007B3653">
      <w:pPr>
        <w:spacing w:line="360" w:lineRule="auto"/>
        <w:rPr>
          <w:rFonts w:ascii="Arial" w:hAnsi="Arial" w:cs="Arial"/>
          <w:sz w:val="22"/>
          <w:szCs w:val="22"/>
        </w:rPr>
      </w:pPr>
      <w:r w:rsidRPr="007B3653">
        <w:rPr>
          <w:rFonts w:ascii="Arial" w:hAnsi="Arial" w:cs="Arial"/>
          <w:sz w:val="22"/>
          <w:szCs w:val="22"/>
        </w:rPr>
        <w:t xml:space="preserve">Als Unterstützung bei der Erfassung bietet die Hottgenroth Gruppe außerdem die KI-gestützte Grundrisserfassung </w:t>
      </w:r>
      <w:r w:rsidRPr="007B3653">
        <w:rPr>
          <w:rFonts w:ascii="Arial" w:hAnsi="Arial" w:cs="Arial"/>
          <w:b/>
          <w:sz w:val="22"/>
          <w:szCs w:val="22"/>
        </w:rPr>
        <w:t>Hott-KI</w:t>
      </w:r>
      <w:r w:rsidRPr="007B3653">
        <w:rPr>
          <w:rFonts w:ascii="Arial" w:hAnsi="Arial" w:cs="Arial"/>
          <w:sz w:val="22"/>
          <w:szCs w:val="22"/>
        </w:rPr>
        <w:t xml:space="preserve"> an, die Wände und Wandöffnungen aus Grundrissplänen </w:t>
      </w:r>
      <w:r w:rsidR="00015337">
        <w:rPr>
          <w:rFonts w:ascii="Arial" w:hAnsi="Arial" w:cs="Arial"/>
          <w:sz w:val="22"/>
          <w:szCs w:val="22"/>
        </w:rPr>
        <w:t>automatisch</w:t>
      </w:r>
      <w:r w:rsidRPr="007B3653">
        <w:rPr>
          <w:rFonts w:ascii="Arial" w:hAnsi="Arial" w:cs="Arial"/>
          <w:sz w:val="22"/>
          <w:szCs w:val="22"/>
        </w:rPr>
        <w:t xml:space="preserve"> auslesen und erzeugen kann.</w:t>
      </w:r>
    </w:p>
    <w:p w14:paraId="06DD9EE7" w14:textId="0FB24920" w:rsidR="00DB049E" w:rsidRDefault="00015337" w:rsidP="007B3653">
      <w:pPr>
        <w:spacing w:line="360" w:lineRule="auto"/>
        <w:rPr>
          <w:rFonts w:ascii="Arial" w:hAnsi="Arial" w:cs="Arial"/>
          <w:sz w:val="22"/>
          <w:szCs w:val="22"/>
        </w:rPr>
      </w:pPr>
      <w:r>
        <w:rPr>
          <w:rFonts w:ascii="Arial" w:hAnsi="Arial" w:cs="Arial"/>
          <w:sz w:val="22"/>
          <w:szCs w:val="22"/>
        </w:rPr>
        <w:t xml:space="preserve">Für das Elektrohandwerk steht außerdem </w:t>
      </w:r>
      <w:r w:rsidR="0074275D">
        <w:rPr>
          <w:rFonts w:ascii="Arial" w:hAnsi="Arial" w:cs="Arial"/>
          <w:sz w:val="22"/>
          <w:szCs w:val="22"/>
        </w:rPr>
        <w:t xml:space="preserve">eine </w:t>
      </w:r>
      <w:r w:rsidRPr="00015337">
        <w:rPr>
          <w:rFonts w:ascii="Arial" w:hAnsi="Arial" w:cs="Arial"/>
          <w:b/>
          <w:sz w:val="22"/>
          <w:szCs w:val="22"/>
        </w:rPr>
        <w:t>Elektrotoolbox</w:t>
      </w:r>
      <w:r>
        <w:rPr>
          <w:rFonts w:ascii="Arial" w:hAnsi="Arial" w:cs="Arial"/>
          <w:b/>
          <w:sz w:val="22"/>
          <w:szCs w:val="22"/>
        </w:rPr>
        <w:t xml:space="preserve"> </w:t>
      </w:r>
      <w:r w:rsidRPr="00015337">
        <w:rPr>
          <w:rFonts w:ascii="Arial" w:hAnsi="Arial" w:cs="Arial"/>
          <w:sz w:val="22"/>
          <w:szCs w:val="22"/>
        </w:rPr>
        <w:t>zur Verfügung</w:t>
      </w:r>
      <w:r>
        <w:rPr>
          <w:rFonts w:ascii="Arial" w:hAnsi="Arial" w:cs="Arial"/>
          <w:sz w:val="22"/>
          <w:szCs w:val="22"/>
        </w:rPr>
        <w:t>, mit der die Auslegung von Elektrokomponenten manuell oder automatisiert vorgenommen werden kann.</w:t>
      </w:r>
    </w:p>
    <w:p w14:paraId="5CC2CA04" w14:textId="77777777" w:rsidR="007B3653" w:rsidRDefault="007B3653" w:rsidP="007B3653">
      <w:pPr>
        <w:spacing w:line="360" w:lineRule="auto"/>
        <w:rPr>
          <w:rFonts w:ascii="Arial" w:hAnsi="Arial" w:cs="Arial"/>
          <w:sz w:val="22"/>
          <w:szCs w:val="22"/>
        </w:rPr>
      </w:pPr>
      <w:r w:rsidRPr="007B3653">
        <w:rPr>
          <w:rFonts w:ascii="Arial" w:hAnsi="Arial" w:cs="Arial"/>
          <w:sz w:val="22"/>
          <w:szCs w:val="22"/>
        </w:rPr>
        <w:t>Nach der Erfassung kann das Gebäudemodell verwendet werden, um verschiedenste Berechnungen durchzuführen.</w:t>
      </w:r>
    </w:p>
    <w:p w14:paraId="1A6371B4" w14:textId="7165BF4A" w:rsidR="007B3653" w:rsidRDefault="007B3653" w:rsidP="007B3653">
      <w:pPr>
        <w:spacing w:line="360" w:lineRule="auto"/>
        <w:rPr>
          <w:rFonts w:ascii="Arial" w:hAnsi="Arial" w:cs="Arial"/>
          <w:sz w:val="22"/>
          <w:szCs w:val="22"/>
        </w:rPr>
      </w:pPr>
      <w:r w:rsidRPr="007B3653">
        <w:rPr>
          <w:rFonts w:ascii="Arial" w:hAnsi="Arial" w:cs="Arial"/>
          <w:sz w:val="22"/>
          <w:szCs w:val="22"/>
        </w:rPr>
        <w:t>Dazu gehören</w:t>
      </w:r>
      <w:r w:rsidR="00EF54C8">
        <w:rPr>
          <w:rFonts w:ascii="Arial" w:hAnsi="Arial" w:cs="Arial"/>
          <w:sz w:val="22"/>
          <w:szCs w:val="22"/>
        </w:rPr>
        <w:t xml:space="preserve"> die </w:t>
      </w:r>
      <w:r w:rsidRPr="007B3653">
        <w:rPr>
          <w:rFonts w:ascii="Arial" w:hAnsi="Arial" w:cs="Arial"/>
          <w:sz w:val="22"/>
          <w:szCs w:val="22"/>
        </w:rPr>
        <w:t xml:space="preserve">Heizlastberechnung und Heizflächenauslegung mit </w:t>
      </w:r>
      <w:proofErr w:type="gramStart"/>
      <w:r w:rsidRPr="007B3653">
        <w:rPr>
          <w:rFonts w:ascii="Arial" w:hAnsi="Arial" w:cs="Arial"/>
          <w:b/>
          <w:sz w:val="22"/>
          <w:szCs w:val="22"/>
        </w:rPr>
        <w:t>TGA Heizung</w:t>
      </w:r>
      <w:proofErr w:type="gramEnd"/>
      <w:r w:rsidRPr="007B3653">
        <w:rPr>
          <w:rFonts w:ascii="Arial" w:hAnsi="Arial" w:cs="Arial"/>
          <w:sz w:val="22"/>
          <w:szCs w:val="22"/>
        </w:rPr>
        <w:t>,</w:t>
      </w:r>
      <w:r w:rsidR="00EF54C8">
        <w:rPr>
          <w:rFonts w:ascii="Arial" w:hAnsi="Arial" w:cs="Arial"/>
          <w:sz w:val="22"/>
          <w:szCs w:val="22"/>
        </w:rPr>
        <w:t xml:space="preserve"> die Berechnung des hydraulischen Abgleichs mit </w:t>
      </w:r>
      <w:r w:rsidR="00EF54C8" w:rsidRPr="00EF54C8">
        <w:rPr>
          <w:rFonts w:ascii="Arial" w:hAnsi="Arial" w:cs="Arial"/>
          <w:b/>
          <w:sz w:val="22"/>
          <w:szCs w:val="22"/>
        </w:rPr>
        <w:t>Optimus</w:t>
      </w:r>
      <w:r w:rsidR="00EF54C8">
        <w:rPr>
          <w:rFonts w:ascii="Arial" w:hAnsi="Arial" w:cs="Arial"/>
          <w:sz w:val="22"/>
          <w:szCs w:val="22"/>
        </w:rPr>
        <w:t>,</w:t>
      </w:r>
      <w:r w:rsidRPr="007B3653">
        <w:rPr>
          <w:rFonts w:ascii="Arial" w:hAnsi="Arial" w:cs="Arial"/>
          <w:sz w:val="22"/>
          <w:szCs w:val="22"/>
        </w:rPr>
        <w:t xml:space="preserve"> die Wärmepumpenauslegung mit dem </w:t>
      </w:r>
      <w:r w:rsidRPr="007B3653">
        <w:rPr>
          <w:rFonts w:ascii="Arial" w:hAnsi="Arial" w:cs="Arial"/>
          <w:b/>
          <w:sz w:val="22"/>
          <w:szCs w:val="22"/>
        </w:rPr>
        <w:t>WP-Planer</w:t>
      </w:r>
      <w:r w:rsidR="0049412D">
        <w:rPr>
          <w:rFonts w:ascii="Arial" w:hAnsi="Arial" w:cs="Arial"/>
          <w:sz w:val="22"/>
          <w:szCs w:val="22"/>
        </w:rPr>
        <w:t xml:space="preserve"> </w:t>
      </w:r>
      <w:r w:rsidRPr="007B3653">
        <w:rPr>
          <w:rFonts w:ascii="Arial" w:hAnsi="Arial" w:cs="Arial"/>
          <w:sz w:val="22"/>
          <w:szCs w:val="22"/>
        </w:rPr>
        <w:t>und vieles mehr.</w:t>
      </w:r>
    </w:p>
    <w:p w14:paraId="0AC1E0ED" w14:textId="2CAAC08E" w:rsidR="00EF54C8" w:rsidRDefault="00EF54C8" w:rsidP="007B3653">
      <w:pPr>
        <w:spacing w:line="360" w:lineRule="auto"/>
        <w:rPr>
          <w:rFonts w:ascii="Arial" w:hAnsi="Arial" w:cs="Arial"/>
          <w:sz w:val="22"/>
          <w:szCs w:val="22"/>
        </w:rPr>
      </w:pPr>
      <w:r>
        <w:rPr>
          <w:rFonts w:ascii="Arial" w:hAnsi="Arial" w:cs="Arial"/>
          <w:sz w:val="22"/>
          <w:szCs w:val="22"/>
        </w:rPr>
        <w:t xml:space="preserve">Neben den einzelnen Programmen kann auch der </w:t>
      </w:r>
      <w:r w:rsidRPr="00EF54C8">
        <w:rPr>
          <w:rFonts w:ascii="Arial" w:hAnsi="Arial" w:cs="Arial"/>
          <w:b/>
          <w:sz w:val="22"/>
          <w:szCs w:val="22"/>
        </w:rPr>
        <w:t>ETU-Planer</w:t>
      </w:r>
      <w:r>
        <w:rPr>
          <w:rFonts w:ascii="Arial" w:hAnsi="Arial" w:cs="Arial"/>
          <w:b/>
          <w:sz w:val="22"/>
          <w:szCs w:val="22"/>
        </w:rPr>
        <w:t xml:space="preserve"> </w:t>
      </w:r>
      <w:r>
        <w:rPr>
          <w:rFonts w:ascii="Arial" w:hAnsi="Arial" w:cs="Arial"/>
          <w:sz w:val="22"/>
          <w:szCs w:val="22"/>
        </w:rPr>
        <w:t>verwendet werden, um alle Berechnung</w:t>
      </w:r>
      <w:r w:rsidR="0074275D">
        <w:rPr>
          <w:rFonts w:ascii="Arial" w:hAnsi="Arial" w:cs="Arial"/>
          <w:sz w:val="22"/>
          <w:szCs w:val="22"/>
        </w:rPr>
        <w:t>en</w:t>
      </w:r>
      <w:r>
        <w:rPr>
          <w:rFonts w:ascii="Arial" w:hAnsi="Arial" w:cs="Arial"/>
          <w:sz w:val="22"/>
          <w:szCs w:val="22"/>
        </w:rPr>
        <w:t xml:space="preserve"> in einer Programmoberfläche durchzuführen.</w:t>
      </w:r>
    </w:p>
    <w:p w14:paraId="67513038" w14:textId="13EBFCED" w:rsidR="0049412D" w:rsidRPr="00015337" w:rsidRDefault="00015337" w:rsidP="007B3653">
      <w:pPr>
        <w:spacing w:line="360" w:lineRule="auto"/>
        <w:rPr>
          <w:rFonts w:ascii="Arial" w:hAnsi="Arial" w:cs="Arial"/>
        </w:rPr>
      </w:pPr>
      <w:r>
        <w:rPr>
          <w:rFonts w:ascii="Arial" w:hAnsi="Arial" w:cs="Arial"/>
          <w:sz w:val="22"/>
          <w:szCs w:val="22"/>
        </w:rPr>
        <w:t>Als kaufmännische Lösung</w:t>
      </w:r>
      <w:r w:rsidR="000B777F">
        <w:rPr>
          <w:rFonts w:ascii="Arial" w:hAnsi="Arial" w:cs="Arial"/>
          <w:sz w:val="22"/>
          <w:szCs w:val="22"/>
        </w:rPr>
        <w:t xml:space="preserve"> für das Handwerk</w:t>
      </w:r>
      <w:r>
        <w:rPr>
          <w:rFonts w:ascii="Arial" w:hAnsi="Arial" w:cs="Arial"/>
          <w:sz w:val="22"/>
          <w:szCs w:val="22"/>
        </w:rPr>
        <w:t xml:space="preserve"> wird außerdem der </w:t>
      </w:r>
      <w:r w:rsidRPr="00015337">
        <w:rPr>
          <w:rFonts w:ascii="Arial" w:hAnsi="Arial" w:cs="Arial"/>
          <w:b/>
          <w:sz w:val="22"/>
          <w:szCs w:val="22"/>
        </w:rPr>
        <w:t>Kaufmann</w:t>
      </w:r>
      <w:r>
        <w:rPr>
          <w:rFonts w:ascii="Arial" w:hAnsi="Arial" w:cs="Arial"/>
          <w:b/>
          <w:sz w:val="22"/>
          <w:szCs w:val="22"/>
        </w:rPr>
        <w:t xml:space="preserve"> </w:t>
      </w:r>
      <w:r>
        <w:rPr>
          <w:rFonts w:ascii="Arial" w:hAnsi="Arial" w:cs="Arial"/>
          <w:sz w:val="22"/>
          <w:szCs w:val="22"/>
        </w:rPr>
        <w:t>angeboten, mit dem sämtliche betriebliche Abläufe von der Auftragsbearbeitung bis zur Abrechnung durchgeführt werden können. Dank Schnittstellen zu vielen Programmen können damit Angebote direkt auf Basis von Projekten erstellt werden.</w:t>
      </w:r>
    </w:p>
    <w:p w14:paraId="06A9155E" w14:textId="35D76BC8" w:rsidR="00465EB1" w:rsidRPr="00EF54C8" w:rsidRDefault="00EF54C8" w:rsidP="007B3653">
      <w:pPr>
        <w:pStyle w:val="berschrift2"/>
        <w:shd w:val="clear" w:color="auto" w:fill="FFFFFF"/>
        <w:spacing w:before="300" w:after="150"/>
        <w:rPr>
          <w:rFonts w:ascii="Arial" w:hAnsi="Arial" w:cs="Arial"/>
          <w:b/>
          <w:bCs/>
          <w:color w:val="333333"/>
          <w:sz w:val="22"/>
          <w:szCs w:val="22"/>
          <w:u w:val="single"/>
        </w:rPr>
      </w:pPr>
      <w:r w:rsidRPr="00EF54C8">
        <w:rPr>
          <w:rFonts w:ascii="Arial" w:hAnsi="Arial" w:cs="Arial"/>
          <w:b/>
          <w:bCs/>
          <w:color w:val="333333"/>
          <w:sz w:val="22"/>
          <w:szCs w:val="22"/>
          <w:u w:val="single"/>
        </w:rPr>
        <w:t>Präzision trifft Effizienz</w:t>
      </w:r>
    </w:p>
    <w:p w14:paraId="7B0EC16C" w14:textId="7315A76F" w:rsidR="00EF54C8" w:rsidRDefault="00EF54C8" w:rsidP="00EF54C8">
      <w:pPr>
        <w:spacing w:line="360" w:lineRule="auto"/>
        <w:rPr>
          <w:rFonts w:ascii="Arial" w:hAnsi="Arial" w:cs="Arial"/>
          <w:sz w:val="22"/>
          <w:szCs w:val="22"/>
        </w:rPr>
      </w:pPr>
      <w:r w:rsidRPr="00EF54C8">
        <w:rPr>
          <w:rFonts w:ascii="Arial" w:hAnsi="Arial" w:cs="Arial"/>
          <w:sz w:val="22"/>
          <w:szCs w:val="22"/>
        </w:rPr>
        <w:t xml:space="preserve">Mit dem </w:t>
      </w:r>
      <w:r w:rsidR="000B777F">
        <w:rPr>
          <w:rFonts w:ascii="Arial" w:hAnsi="Arial" w:cs="Arial"/>
          <w:sz w:val="22"/>
          <w:szCs w:val="22"/>
        </w:rPr>
        <w:t>umfangreichen</w:t>
      </w:r>
      <w:r w:rsidRPr="00EF54C8">
        <w:rPr>
          <w:rFonts w:ascii="Arial" w:hAnsi="Arial" w:cs="Arial"/>
          <w:sz w:val="22"/>
          <w:szCs w:val="22"/>
        </w:rPr>
        <w:t xml:space="preserve"> Angebot von Hottgenroth </w:t>
      </w:r>
      <w:r>
        <w:rPr>
          <w:rFonts w:ascii="Arial" w:hAnsi="Arial" w:cs="Arial"/>
          <w:sz w:val="22"/>
          <w:szCs w:val="22"/>
        </w:rPr>
        <w:t>lassen sich viele Arbeitsschritte</w:t>
      </w:r>
      <w:r w:rsidR="007835D5">
        <w:rPr>
          <w:rFonts w:ascii="Arial" w:hAnsi="Arial" w:cs="Arial"/>
          <w:sz w:val="22"/>
          <w:szCs w:val="22"/>
        </w:rPr>
        <w:t xml:space="preserve"> optimieren, um Handwerkern und Planern </w:t>
      </w:r>
      <w:r w:rsidR="00601247">
        <w:rPr>
          <w:rFonts w:ascii="Arial" w:hAnsi="Arial" w:cs="Arial"/>
          <w:sz w:val="22"/>
          <w:szCs w:val="22"/>
        </w:rPr>
        <w:t xml:space="preserve">präzise Ergebnisse zu liefern </w:t>
      </w:r>
      <w:r w:rsidR="007835D5">
        <w:rPr>
          <w:rFonts w:ascii="Arial" w:hAnsi="Arial" w:cs="Arial"/>
          <w:sz w:val="22"/>
          <w:szCs w:val="22"/>
        </w:rPr>
        <w:t xml:space="preserve">und </w:t>
      </w:r>
      <w:r w:rsidR="00601247">
        <w:rPr>
          <w:rFonts w:ascii="Arial" w:hAnsi="Arial" w:cs="Arial"/>
          <w:sz w:val="22"/>
          <w:szCs w:val="22"/>
        </w:rPr>
        <w:t>Zeit zu sparen.</w:t>
      </w:r>
      <w:r w:rsidR="00015337">
        <w:rPr>
          <w:rFonts w:ascii="Arial" w:hAnsi="Arial" w:cs="Arial"/>
          <w:sz w:val="22"/>
          <w:szCs w:val="22"/>
        </w:rPr>
        <w:t xml:space="preserve"> </w:t>
      </w:r>
    </w:p>
    <w:p w14:paraId="3BB67371" w14:textId="014DEB5E" w:rsidR="007835D5" w:rsidRPr="00EF54C8" w:rsidRDefault="007835D5" w:rsidP="00EF54C8">
      <w:pPr>
        <w:spacing w:line="360" w:lineRule="auto"/>
        <w:rPr>
          <w:rFonts w:ascii="Arial" w:hAnsi="Arial" w:cs="Arial"/>
        </w:rPr>
      </w:pPr>
      <w:r>
        <w:rPr>
          <w:rFonts w:ascii="Arial" w:hAnsi="Arial" w:cs="Arial"/>
          <w:sz w:val="22"/>
          <w:szCs w:val="22"/>
        </w:rPr>
        <w:t xml:space="preserve">Mit Lösungen für alle Bereiche der Branchen werden Experten von Hottgenroth während der gesamten Messe in Halle </w:t>
      </w:r>
      <w:r w:rsidR="00601247">
        <w:rPr>
          <w:rFonts w:ascii="Arial" w:hAnsi="Arial" w:cs="Arial"/>
          <w:sz w:val="22"/>
          <w:szCs w:val="22"/>
        </w:rPr>
        <w:t>A4</w:t>
      </w:r>
      <w:r>
        <w:rPr>
          <w:rFonts w:ascii="Arial" w:hAnsi="Arial" w:cs="Arial"/>
          <w:sz w:val="22"/>
          <w:szCs w:val="22"/>
        </w:rPr>
        <w:t xml:space="preserve"> an Stand </w:t>
      </w:r>
      <w:r w:rsidR="0074275D">
        <w:rPr>
          <w:rFonts w:ascii="Arial" w:hAnsi="Arial" w:cs="Arial"/>
          <w:sz w:val="22"/>
          <w:szCs w:val="22"/>
        </w:rPr>
        <w:t>421</w:t>
      </w:r>
      <w:r w:rsidR="00601247">
        <w:rPr>
          <w:rFonts w:ascii="Arial" w:hAnsi="Arial" w:cs="Arial"/>
          <w:sz w:val="22"/>
          <w:szCs w:val="22"/>
        </w:rPr>
        <w:t xml:space="preserve"> </w:t>
      </w:r>
      <w:r>
        <w:rPr>
          <w:rFonts w:ascii="Arial" w:hAnsi="Arial" w:cs="Arial"/>
          <w:sz w:val="22"/>
          <w:szCs w:val="22"/>
        </w:rPr>
        <w:t>zur Verfügung stehen, um diese vor Ort vorzustellen und zu demonstrieren.</w:t>
      </w:r>
    </w:p>
    <w:p w14:paraId="1E3D95C9" w14:textId="77777777" w:rsidR="00724D39" w:rsidRDefault="00724D39" w:rsidP="002B431B">
      <w:pPr>
        <w:pBdr>
          <w:bottom w:val="single" w:sz="12" w:space="1" w:color="auto"/>
        </w:pBdr>
        <w:spacing w:line="360" w:lineRule="exact"/>
        <w:ind w:right="1128"/>
        <w:rPr>
          <w:rFonts w:ascii="Arial" w:hAnsi="Arial" w:cs="Arial"/>
        </w:rPr>
      </w:pPr>
    </w:p>
    <w:p w14:paraId="3512A25D" w14:textId="77777777" w:rsidR="00724D39" w:rsidRPr="00004CF4" w:rsidRDefault="00724D39" w:rsidP="002B431B">
      <w:pPr>
        <w:pBdr>
          <w:bottom w:val="single" w:sz="12" w:space="1" w:color="auto"/>
        </w:pBdr>
        <w:spacing w:line="360" w:lineRule="exact"/>
        <w:ind w:right="1128"/>
        <w:rPr>
          <w:rFonts w:ascii="Arial" w:hAnsi="Arial" w:cs="Arial"/>
        </w:rPr>
      </w:pPr>
    </w:p>
    <w:p w14:paraId="4BA8D94E" w14:textId="6295E55A" w:rsidR="002B431B" w:rsidRDefault="00226C79" w:rsidP="002B431B">
      <w:pPr>
        <w:widowControl w:val="0"/>
        <w:suppressAutoHyphens/>
        <w:autoSpaceDE w:val="0"/>
        <w:autoSpaceDN w:val="0"/>
        <w:adjustRightInd w:val="0"/>
        <w:spacing w:line="360" w:lineRule="exact"/>
        <w:ind w:right="1128"/>
        <w:rPr>
          <w:rFonts w:ascii="Arial" w:hAnsi="Arial" w:cs="Arial"/>
          <w:sz w:val="22"/>
          <w:szCs w:val="22"/>
        </w:rPr>
      </w:pPr>
      <w:r>
        <w:rPr>
          <w:rFonts w:ascii="Arial" w:hAnsi="Arial" w:cs="Arial"/>
          <w:sz w:val="22"/>
          <w:szCs w:val="22"/>
        </w:rPr>
        <w:t xml:space="preserve"> </w:t>
      </w:r>
      <w:r w:rsidR="00601247">
        <w:rPr>
          <w:rFonts w:ascii="Arial" w:hAnsi="Arial" w:cs="Arial"/>
          <w:sz w:val="22"/>
          <w:szCs w:val="22"/>
        </w:rPr>
        <w:t>3.</w:t>
      </w:r>
      <w:r w:rsidR="00F6511D">
        <w:rPr>
          <w:rFonts w:ascii="Arial" w:hAnsi="Arial" w:cs="Arial"/>
          <w:sz w:val="22"/>
          <w:szCs w:val="22"/>
        </w:rPr>
        <w:t>236</w:t>
      </w:r>
      <w:r w:rsidR="000609F4">
        <w:rPr>
          <w:rFonts w:ascii="Arial" w:hAnsi="Arial" w:cs="Arial"/>
          <w:sz w:val="22"/>
          <w:szCs w:val="22"/>
        </w:rPr>
        <w:t xml:space="preserve"> </w:t>
      </w:r>
      <w:r w:rsidR="002B431B" w:rsidRPr="002B431B">
        <w:rPr>
          <w:rFonts w:ascii="Arial" w:hAnsi="Arial" w:cs="Arial"/>
          <w:sz w:val="22"/>
          <w:szCs w:val="22"/>
        </w:rPr>
        <w:t>Zeichen inklusive Leerzeichen ohne Überschrift</w:t>
      </w:r>
    </w:p>
    <w:p w14:paraId="3D315CE8" w14:textId="77777777" w:rsidR="002B431B" w:rsidRDefault="002B431B" w:rsidP="002B431B">
      <w:pPr>
        <w:widowControl w:val="0"/>
        <w:suppressAutoHyphens/>
        <w:autoSpaceDE w:val="0"/>
        <w:autoSpaceDN w:val="0"/>
        <w:adjustRightInd w:val="0"/>
        <w:spacing w:line="360" w:lineRule="exact"/>
        <w:ind w:right="1128"/>
        <w:rPr>
          <w:rFonts w:ascii="Arial" w:hAnsi="Arial" w:cs="Arial"/>
          <w:sz w:val="22"/>
          <w:szCs w:val="22"/>
        </w:rPr>
      </w:pPr>
    </w:p>
    <w:p w14:paraId="074A1C8B" w14:textId="4C7B1F28" w:rsidR="002B431B" w:rsidRPr="002B431B" w:rsidRDefault="002B431B" w:rsidP="002B431B">
      <w:pPr>
        <w:spacing w:line="360" w:lineRule="exact"/>
        <w:ind w:right="1128"/>
        <w:rPr>
          <w:rFonts w:ascii="Arial" w:hAnsi="Arial" w:cs="Arial"/>
          <w:sz w:val="22"/>
          <w:szCs w:val="22"/>
        </w:rPr>
      </w:pPr>
      <w:r w:rsidRPr="002B431B">
        <w:rPr>
          <w:rFonts w:ascii="Arial" w:hAnsi="Arial" w:cs="Arial"/>
          <w:sz w:val="22"/>
          <w:szCs w:val="22"/>
        </w:rPr>
        <w:t>Hottgenroth Software AG</w:t>
      </w:r>
    </w:p>
    <w:p w14:paraId="4135A24A" w14:textId="77777777" w:rsidR="002B431B" w:rsidRPr="002B431B" w:rsidRDefault="002B431B" w:rsidP="002B431B">
      <w:pPr>
        <w:spacing w:line="240" w:lineRule="exact"/>
        <w:ind w:right="1128"/>
        <w:contextualSpacing/>
        <w:rPr>
          <w:rFonts w:ascii="Arial" w:hAnsi="Arial" w:cs="Arial"/>
          <w:sz w:val="22"/>
          <w:szCs w:val="22"/>
        </w:rPr>
      </w:pPr>
      <w:r w:rsidRPr="002B431B">
        <w:rPr>
          <w:rFonts w:ascii="Arial" w:hAnsi="Arial" w:cs="Arial"/>
          <w:sz w:val="22"/>
          <w:szCs w:val="22"/>
        </w:rPr>
        <w:t>Von-Hünefeld-Straße 3</w:t>
      </w:r>
    </w:p>
    <w:p w14:paraId="419FC7A6" w14:textId="77777777" w:rsidR="002B431B" w:rsidRPr="002B431B" w:rsidRDefault="002B431B" w:rsidP="002B431B">
      <w:pPr>
        <w:spacing w:line="240" w:lineRule="exact"/>
        <w:ind w:right="1128"/>
        <w:contextualSpacing/>
        <w:rPr>
          <w:rFonts w:ascii="Arial" w:hAnsi="Arial" w:cs="Arial"/>
          <w:sz w:val="22"/>
          <w:szCs w:val="22"/>
        </w:rPr>
      </w:pPr>
      <w:r w:rsidRPr="002B431B">
        <w:rPr>
          <w:rFonts w:ascii="Arial" w:hAnsi="Arial" w:cs="Arial"/>
          <w:sz w:val="22"/>
          <w:szCs w:val="22"/>
        </w:rPr>
        <w:t>50829 Köln</w:t>
      </w:r>
    </w:p>
    <w:p w14:paraId="29BB122F" w14:textId="77777777" w:rsidR="002B431B" w:rsidRPr="002B431B" w:rsidRDefault="002B431B" w:rsidP="002B431B">
      <w:pPr>
        <w:spacing w:line="240" w:lineRule="exact"/>
        <w:ind w:right="1128"/>
        <w:contextualSpacing/>
        <w:rPr>
          <w:rFonts w:ascii="Arial" w:hAnsi="Arial" w:cs="Arial"/>
          <w:sz w:val="22"/>
          <w:szCs w:val="22"/>
        </w:rPr>
      </w:pPr>
      <w:r w:rsidRPr="002B431B">
        <w:rPr>
          <w:rFonts w:ascii="Arial" w:hAnsi="Arial" w:cs="Arial"/>
          <w:sz w:val="22"/>
          <w:szCs w:val="22"/>
        </w:rPr>
        <w:t>Deutschland</w:t>
      </w:r>
    </w:p>
    <w:p w14:paraId="08B5579D" w14:textId="77777777" w:rsidR="002B431B" w:rsidRPr="002B431B" w:rsidRDefault="002B431B" w:rsidP="002B431B">
      <w:pPr>
        <w:spacing w:line="240" w:lineRule="exact"/>
        <w:ind w:right="1128"/>
        <w:contextualSpacing/>
        <w:rPr>
          <w:rFonts w:ascii="Arial" w:hAnsi="Arial" w:cs="Arial"/>
          <w:sz w:val="22"/>
          <w:szCs w:val="22"/>
        </w:rPr>
      </w:pPr>
      <w:r w:rsidRPr="002B431B">
        <w:rPr>
          <w:rFonts w:ascii="Arial" w:hAnsi="Arial" w:cs="Arial"/>
          <w:sz w:val="22"/>
          <w:szCs w:val="22"/>
        </w:rPr>
        <w:t>+49 221 709930</w:t>
      </w:r>
    </w:p>
    <w:p w14:paraId="2FEEE0E7" w14:textId="77777777" w:rsidR="002B431B" w:rsidRPr="002B431B" w:rsidRDefault="002B431B" w:rsidP="002B431B">
      <w:pPr>
        <w:spacing w:line="240" w:lineRule="exact"/>
        <w:ind w:right="1128"/>
        <w:contextualSpacing/>
        <w:rPr>
          <w:rFonts w:ascii="Arial" w:hAnsi="Arial" w:cs="Arial"/>
          <w:sz w:val="22"/>
          <w:szCs w:val="22"/>
        </w:rPr>
      </w:pPr>
      <w:r w:rsidRPr="002B431B">
        <w:rPr>
          <w:rFonts w:ascii="Arial" w:hAnsi="Arial" w:cs="Arial"/>
          <w:sz w:val="22"/>
          <w:szCs w:val="22"/>
        </w:rPr>
        <w:t>+49 221 70993301</w:t>
      </w:r>
    </w:p>
    <w:p w14:paraId="7A36C09A" w14:textId="23B73A11" w:rsidR="002B431B" w:rsidRPr="002B431B" w:rsidRDefault="002B431B" w:rsidP="002B431B">
      <w:pPr>
        <w:spacing w:line="240" w:lineRule="exact"/>
        <w:ind w:right="1128"/>
        <w:contextualSpacing/>
        <w:rPr>
          <w:rFonts w:ascii="Arial" w:hAnsi="Arial" w:cs="Arial"/>
          <w:sz w:val="22"/>
          <w:szCs w:val="22"/>
        </w:rPr>
      </w:pPr>
      <w:r w:rsidRPr="002B431B">
        <w:rPr>
          <w:rFonts w:ascii="Arial" w:hAnsi="Arial" w:cs="Arial"/>
          <w:sz w:val="22"/>
          <w:szCs w:val="22"/>
        </w:rPr>
        <w:t>www.hottgenroth.de</w:t>
      </w:r>
    </w:p>
    <w:p w14:paraId="2187C71D" w14:textId="0E63CCBC" w:rsidR="002B431B" w:rsidRPr="002B431B" w:rsidRDefault="002B431B" w:rsidP="002B431B">
      <w:pPr>
        <w:spacing w:line="360" w:lineRule="exact"/>
        <w:ind w:right="1128"/>
        <w:rPr>
          <w:rFonts w:ascii="Arial" w:hAnsi="Arial" w:cs="Arial"/>
          <w:sz w:val="22"/>
          <w:szCs w:val="22"/>
        </w:rPr>
      </w:pPr>
    </w:p>
    <w:p w14:paraId="70EE5E0D" w14:textId="1AC17296" w:rsidR="002B431B" w:rsidRPr="002B431B" w:rsidRDefault="002B431B" w:rsidP="002B431B">
      <w:pPr>
        <w:spacing w:line="360" w:lineRule="exact"/>
        <w:ind w:right="1128"/>
        <w:rPr>
          <w:rFonts w:ascii="Arial" w:hAnsi="Arial" w:cs="Arial"/>
          <w:sz w:val="22"/>
          <w:szCs w:val="22"/>
        </w:rPr>
      </w:pPr>
      <w:r w:rsidRPr="002B431B">
        <w:rPr>
          <w:rFonts w:ascii="Arial" w:hAnsi="Arial" w:cs="Arial"/>
          <w:sz w:val="22"/>
          <w:szCs w:val="22"/>
        </w:rPr>
        <w:t>Autor: Hottgenroth Software AG</w:t>
      </w:r>
    </w:p>
    <w:p w14:paraId="6F4BF6F3" w14:textId="32B4DA40" w:rsidR="002B431B" w:rsidRDefault="002B431B" w:rsidP="002B431B">
      <w:pPr>
        <w:spacing w:line="360" w:lineRule="exact"/>
        <w:ind w:right="1128"/>
        <w:rPr>
          <w:rFonts w:ascii="Arial" w:hAnsi="Arial" w:cs="Arial"/>
          <w:sz w:val="22"/>
          <w:szCs w:val="22"/>
        </w:rPr>
      </w:pPr>
      <w:r w:rsidRPr="002B431B">
        <w:rPr>
          <w:rFonts w:ascii="Arial" w:hAnsi="Arial" w:cs="Arial"/>
          <w:sz w:val="22"/>
          <w:szCs w:val="22"/>
        </w:rPr>
        <w:t>Copyright: Hottgenroth Software AG</w:t>
      </w:r>
    </w:p>
    <w:p w14:paraId="40AC8983" w14:textId="2961BBEA" w:rsidR="009B251D" w:rsidRDefault="009B251D" w:rsidP="002B431B">
      <w:pPr>
        <w:spacing w:line="360" w:lineRule="exact"/>
        <w:ind w:right="1128"/>
        <w:rPr>
          <w:rFonts w:ascii="Arial" w:hAnsi="Arial" w:cs="Arial"/>
          <w:sz w:val="22"/>
          <w:szCs w:val="22"/>
        </w:rPr>
      </w:pPr>
    </w:p>
    <w:p w14:paraId="27E54C57" w14:textId="77777777" w:rsidR="009B251D" w:rsidRPr="009B251D" w:rsidRDefault="009B251D" w:rsidP="002B431B">
      <w:pPr>
        <w:spacing w:line="360" w:lineRule="exact"/>
        <w:ind w:right="1128"/>
        <w:rPr>
          <w:rFonts w:ascii="Arial" w:hAnsi="Arial" w:cs="Arial"/>
          <w:sz w:val="22"/>
          <w:szCs w:val="22"/>
        </w:rPr>
      </w:pPr>
    </w:p>
    <w:p w14:paraId="504DB9B8" w14:textId="54044EB9" w:rsidR="002B431B" w:rsidRPr="00452775" w:rsidRDefault="002B431B" w:rsidP="002B431B">
      <w:pPr>
        <w:pBdr>
          <w:bottom w:val="single" w:sz="12" w:space="1" w:color="auto"/>
        </w:pBdr>
        <w:spacing w:line="360" w:lineRule="exact"/>
        <w:ind w:right="1128"/>
        <w:rPr>
          <w:rFonts w:ascii="Arial" w:hAnsi="Arial" w:cs="Arial"/>
          <w:b/>
          <w:bCs/>
        </w:rPr>
      </w:pPr>
      <w:r w:rsidRPr="00452775">
        <w:rPr>
          <w:rFonts w:ascii="Arial" w:hAnsi="Arial" w:cs="Arial"/>
          <w:b/>
          <w:bCs/>
        </w:rPr>
        <w:t>Bilder und Bildunterschriften:</w:t>
      </w:r>
    </w:p>
    <w:p w14:paraId="2FB9D5C1" w14:textId="00A5A553" w:rsidR="002B431B" w:rsidRDefault="00F6511D" w:rsidP="002B431B">
      <w:pPr>
        <w:widowControl w:val="0"/>
        <w:suppressAutoHyphens/>
        <w:autoSpaceDE w:val="0"/>
        <w:autoSpaceDN w:val="0"/>
        <w:adjustRightInd w:val="0"/>
        <w:spacing w:line="360" w:lineRule="exact"/>
        <w:ind w:right="1128"/>
        <w:rPr>
          <w:rFonts w:ascii="Arial" w:hAnsi="Arial" w:cs="Arial"/>
          <w:sz w:val="22"/>
          <w:szCs w:val="22"/>
        </w:rPr>
      </w:pPr>
      <w:r w:rsidRPr="00F6511D">
        <w:rPr>
          <w:rFonts w:ascii="Arial" w:hAnsi="Arial" w:cs="Arial"/>
          <w:sz w:val="22"/>
          <w:szCs w:val="22"/>
        </w:rPr>
        <w:t>Hottgenroth_GET NORD_ETU-Planer_1</w:t>
      </w:r>
      <w:r w:rsidR="0044255D">
        <w:rPr>
          <w:rFonts w:ascii="Arial" w:hAnsi="Arial" w:cs="Arial"/>
          <w:sz w:val="22"/>
          <w:szCs w:val="22"/>
        </w:rPr>
        <w:t xml:space="preserve">: </w:t>
      </w:r>
      <w:r w:rsidR="00E77967">
        <w:rPr>
          <w:rFonts w:ascii="Arial" w:hAnsi="Arial" w:cs="Arial"/>
          <w:sz w:val="22"/>
          <w:szCs w:val="22"/>
        </w:rPr>
        <w:t>Die Software „ETU-Planer“ im Einsatz</w:t>
      </w:r>
    </w:p>
    <w:p w14:paraId="15FA1718" w14:textId="22EFFAA1" w:rsidR="0044255D" w:rsidRDefault="00F6511D" w:rsidP="0044255D">
      <w:pPr>
        <w:widowControl w:val="0"/>
        <w:suppressAutoHyphens/>
        <w:autoSpaceDE w:val="0"/>
        <w:autoSpaceDN w:val="0"/>
        <w:adjustRightInd w:val="0"/>
        <w:spacing w:line="360" w:lineRule="exact"/>
        <w:ind w:right="1128"/>
        <w:rPr>
          <w:rFonts w:ascii="Arial" w:hAnsi="Arial" w:cs="Arial"/>
          <w:sz w:val="22"/>
          <w:szCs w:val="22"/>
        </w:rPr>
      </w:pPr>
      <w:r w:rsidRPr="00F6511D">
        <w:rPr>
          <w:rFonts w:ascii="Arial" w:hAnsi="Arial" w:cs="Arial"/>
          <w:sz w:val="22"/>
          <w:szCs w:val="22"/>
        </w:rPr>
        <w:t>Hottgenroth_GET NORD_ETU-Planer_</w:t>
      </w:r>
      <w:r>
        <w:rPr>
          <w:rFonts w:ascii="Arial" w:hAnsi="Arial" w:cs="Arial"/>
          <w:sz w:val="22"/>
          <w:szCs w:val="22"/>
        </w:rPr>
        <w:t>2</w:t>
      </w:r>
      <w:r w:rsidR="0044255D">
        <w:rPr>
          <w:rFonts w:ascii="Arial" w:hAnsi="Arial" w:cs="Arial"/>
          <w:sz w:val="22"/>
          <w:szCs w:val="22"/>
        </w:rPr>
        <w:t xml:space="preserve">: </w:t>
      </w:r>
      <w:r w:rsidR="00E77967">
        <w:rPr>
          <w:rFonts w:ascii="Arial" w:hAnsi="Arial" w:cs="Arial"/>
          <w:sz w:val="22"/>
          <w:szCs w:val="22"/>
        </w:rPr>
        <w:t>Etagenweise Darstellung einer Heizflächenauslegung im „ETU-Planer“</w:t>
      </w:r>
    </w:p>
    <w:p w14:paraId="19A42431" w14:textId="043C04D5" w:rsidR="0044255D" w:rsidRDefault="00F6511D" w:rsidP="002B431B">
      <w:pPr>
        <w:widowControl w:val="0"/>
        <w:suppressAutoHyphens/>
        <w:autoSpaceDE w:val="0"/>
        <w:autoSpaceDN w:val="0"/>
        <w:adjustRightInd w:val="0"/>
        <w:spacing w:line="360" w:lineRule="exact"/>
        <w:ind w:right="1128"/>
        <w:rPr>
          <w:rFonts w:ascii="Arial" w:hAnsi="Arial" w:cs="Arial"/>
          <w:sz w:val="22"/>
          <w:szCs w:val="22"/>
        </w:rPr>
      </w:pPr>
      <w:r w:rsidRPr="00F6511D">
        <w:rPr>
          <w:rFonts w:ascii="Arial" w:hAnsi="Arial" w:cs="Arial"/>
          <w:sz w:val="22"/>
          <w:szCs w:val="22"/>
        </w:rPr>
        <w:t>Hottgenroth_GET NORD_ETU-Planer_</w:t>
      </w:r>
      <w:r>
        <w:rPr>
          <w:rFonts w:ascii="Arial" w:hAnsi="Arial" w:cs="Arial"/>
          <w:sz w:val="22"/>
          <w:szCs w:val="22"/>
        </w:rPr>
        <w:t>3</w:t>
      </w:r>
      <w:r w:rsidR="0044255D">
        <w:rPr>
          <w:rFonts w:ascii="Arial" w:hAnsi="Arial" w:cs="Arial"/>
          <w:sz w:val="22"/>
          <w:szCs w:val="22"/>
        </w:rPr>
        <w:t xml:space="preserve">: </w:t>
      </w:r>
      <w:r w:rsidR="00E77967">
        <w:rPr>
          <w:rFonts w:ascii="Arial" w:hAnsi="Arial" w:cs="Arial"/>
          <w:sz w:val="22"/>
          <w:szCs w:val="22"/>
        </w:rPr>
        <w:t>Heizflächenauslegung im 3D-Modell von „HottCAD“</w:t>
      </w:r>
    </w:p>
    <w:p w14:paraId="62ECDBDB" w14:textId="53638DF7" w:rsidR="00F6511D" w:rsidRDefault="00F6511D" w:rsidP="002B431B">
      <w:pPr>
        <w:widowControl w:val="0"/>
        <w:suppressAutoHyphens/>
        <w:autoSpaceDE w:val="0"/>
        <w:autoSpaceDN w:val="0"/>
        <w:adjustRightInd w:val="0"/>
        <w:spacing w:line="360" w:lineRule="exact"/>
        <w:ind w:right="1128"/>
        <w:rPr>
          <w:rFonts w:ascii="Arial" w:hAnsi="Arial" w:cs="Arial"/>
          <w:sz w:val="22"/>
          <w:szCs w:val="22"/>
        </w:rPr>
      </w:pPr>
      <w:r w:rsidRPr="00F6511D">
        <w:rPr>
          <w:rFonts w:ascii="Arial" w:hAnsi="Arial" w:cs="Arial"/>
          <w:sz w:val="22"/>
          <w:szCs w:val="22"/>
        </w:rPr>
        <w:t>Hottgenroth_GET NORD_ETU-Planer_</w:t>
      </w:r>
      <w:r>
        <w:rPr>
          <w:rFonts w:ascii="Arial" w:hAnsi="Arial" w:cs="Arial"/>
          <w:sz w:val="22"/>
          <w:szCs w:val="22"/>
        </w:rPr>
        <w:t xml:space="preserve">4: </w:t>
      </w:r>
      <w:r w:rsidR="00E77967">
        <w:rPr>
          <w:rFonts w:ascii="Arial" w:hAnsi="Arial" w:cs="Arial"/>
          <w:sz w:val="22"/>
          <w:szCs w:val="22"/>
        </w:rPr>
        <w:t>TGA-Planung mit dem „ETU-Planer“</w:t>
      </w:r>
    </w:p>
    <w:p w14:paraId="42BB0E19" w14:textId="0B1C2FD4" w:rsidR="00F6511D" w:rsidRPr="002B431B" w:rsidRDefault="00F6511D" w:rsidP="002B431B">
      <w:pPr>
        <w:widowControl w:val="0"/>
        <w:suppressAutoHyphens/>
        <w:autoSpaceDE w:val="0"/>
        <w:autoSpaceDN w:val="0"/>
        <w:adjustRightInd w:val="0"/>
        <w:spacing w:line="360" w:lineRule="exact"/>
        <w:ind w:right="1128"/>
        <w:rPr>
          <w:rFonts w:ascii="Arial" w:hAnsi="Arial" w:cs="Arial"/>
          <w:sz w:val="22"/>
          <w:szCs w:val="22"/>
        </w:rPr>
      </w:pPr>
      <w:r w:rsidRPr="00F6511D">
        <w:rPr>
          <w:rFonts w:ascii="Arial" w:hAnsi="Arial" w:cs="Arial"/>
          <w:sz w:val="22"/>
          <w:szCs w:val="22"/>
        </w:rPr>
        <w:t>Hottgenroth_GET NORD_ETU-Planer_</w:t>
      </w:r>
      <w:r>
        <w:rPr>
          <w:rFonts w:ascii="Arial" w:hAnsi="Arial" w:cs="Arial"/>
          <w:sz w:val="22"/>
          <w:szCs w:val="22"/>
        </w:rPr>
        <w:t xml:space="preserve">5: </w:t>
      </w:r>
      <w:r w:rsidR="00E77967">
        <w:rPr>
          <w:rFonts w:ascii="Arial" w:hAnsi="Arial" w:cs="Arial"/>
          <w:sz w:val="22"/>
          <w:szCs w:val="22"/>
        </w:rPr>
        <w:t>Zweidimensionale Heizflächenauslegung im „ETU-Planer“</w:t>
      </w:r>
    </w:p>
    <w:sectPr w:rsidR="00F6511D" w:rsidRPr="002B431B">
      <w:headerReference w:type="default" r:id="rId8"/>
      <w:footerReference w:type="first" r:id="rId9"/>
      <w:pgSz w:w="11906" w:h="16838" w:code="9"/>
      <w:pgMar w:top="1729" w:right="1134" w:bottom="1701" w:left="4105" w:header="1021" w:footer="709"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5ACB7F" w14:textId="77777777" w:rsidR="003B3811" w:rsidRDefault="003B3811">
      <w:r>
        <w:separator/>
      </w:r>
    </w:p>
  </w:endnote>
  <w:endnote w:type="continuationSeparator" w:id="0">
    <w:p w14:paraId="01F14F8D" w14:textId="77777777" w:rsidR="003B3811" w:rsidRDefault="003B3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Source Sans Pro">
    <w:panose1 w:val="020B0503030403020204"/>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4E36CC" w14:textId="77777777" w:rsidR="00C1593C" w:rsidRDefault="00C1593C">
    <w:pPr>
      <w:pStyle w:val="Fuzeile"/>
      <w:tabs>
        <w:tab w:val="clear" w:pos="4536"/>
        <w:tab w:val="clear" w:pos="9072"/>
        <w:tab w:val="left" w:pos="14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632CFF" w14:textId="77777777" w:rsidR="003B3811" w:rsidRDefault="003B3811">
      <w:r>
        <w:separator/>
      </w:r>
    </w:p>
  </w:footnote>
  <w:footnote w:type="continuationSeparator" w:id="0">
    <w:p w14:paraId="5F29F242" w14:textId="77777777" w:rsidR="003B3811" w:rsidRDefault="003B38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89B56B" w14:textId="77777777" w:rsidR="00C1593C" w:rsidRDefault="00181638">
    <w:pPr>
      <w:pStyle w:val="Kopfzeile"/>
      <w:jc w:val="center"/>
      <w:rPr>
        <w:rFonts w:ascii="Arial" w:hAnsi="Arial" w:cs="Arial"/>
        <w:sz w:val="20"/>
        <w:szCs w:val="20"/>
      </w:rPr>
    </w:pPr>
    <w:r>
      <w:rPr>
        <w:rStyle w:val="Seitenzahl"/>
        <w:rFonts w:ascii="Arial" w:hAnsi="Arial" w:cs="Arial"/>
        <w:sz w:val="20"/>
        <w:szCs w:val="20"/>
      </w:rPr>
      <w:fldChar w:fldCharType="begin"/>
    </w:r>
    <w:r>
      <w:rPr>
        <w:rStyle w:val="Seitenzahl"/>
        <w:rFonts w:ascii="Arial" w:hAnsi="Arial" w:cs="Arial"/>
        <w:sz w:val="20"/>
        <w:szCs w:val="20"/>
      </w:rPr>
      <w:instrText xml:space="preserve"> PAGE </w:instrText>
    </w:r>
    <w:r>
      <w:rPr>
        <w:rStyle w:val="Seitenzahl"/>
        <w:rFonts w:ascii="Arial" w:hAnsi="Arial" w:cs="Arial"/>
        <w:sz w:val="20"/>
        <w:szCs w:val="20"/>
      </w:rPr>
      <w:fldChar w:fldCharType="separate"/>
    </w:r>
    <w:r>
      <w:rPr>
        <w:rStyle w:val="Seitenzahl"/>
        <w:rFonts w:ascii="Arial" w:hAnsi="Arial" w:cs="Arial"/>
        <w:noProof/>
        <w:sz w:val="20"/>
        <w:szCs w:val="20"/>
      </w:rPr>
      <w:t>- 2 -</w:t>
    </w:r>
    <w:r>
      <w:rPr>
        <w:rStyle w:val="Seitenzahl"/>
        <w:rFonts w:ascii="Arial" w:hAnsi="Arial" w:cs="Arial"/>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5FE20DC"/>
    <w:multiLevelType w:val="hybridMultilevel"/>
    <w:tmpl w:val="71B23844"/>
    <w:lvl w:ilvl="0" w:tplc="B4A47B3E">
      <w:start w:val="2"/>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381047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593C"/>
    <w:rsid w:val="000013D2"/>
    <w:rsid w:val="00015337"/>
    <w:rsid w:val="00050EB1"/>
    <w:rsid w:val="000609F4"/>
    <w:rsid w:val="00083754"/>
    <w:rsid w:val="000B777F"/>
    <w:rsid w:val="000E2E8E"/>
    <w:rsid w:val="00115644"/>
    <w:rsid w:val="001360F0"/>
    <w:rsid w:val="00162413"/>
    <w:rsid w:val="00166FF8"/>
    <w:rsid w:val="00181638"/>
    <w:rsid w:val="001C3522"/>
    <w:rsid w:val="001F339C"/>
    <w:rsid w:val="002148A7"/>
    <w:rsid w:val="00226C79"/>
    <w:rsid w:val="00257A50"/>
    <w:rsid w:val="002B431B"/>
    <w:rsid w:val="00376667"/>
    <w:rsid w:val="003A1873"/>
    <w:rsid w:val="003A2167"/>
    <w:rsid w:val="003A418E"/>
    <w:rsid w:val="003B3811"/>
    <w:rsid w:val="003E5878"/>
    <w:rsid w:val="0044255D"/>
    <w:rsid w:val="00465EB1"/>
    <w:rsid w:val="0049412D"/>
    <w:rsid w:val="00495668"/>
    <w:rsid w:val="004F6081"/>
    <w:rsid w:val="00507139"/>
    <w:rsid w:val="00534DEC"/>
    <w:rsid w:val="005362D7"/>
    <w:rsid w:val="005928AB"/>
    <w:rsid w:val="00592D14"/>
    <w:rsid w:val="005E6E50"/>
    <w:rsid w:val="00601247"/>
    <w:rsid w:val="0061623F"/>
    <w:rsid w:val="00692DA7"/>
    <w:rsid w:val="00724D39"/>
    <w:rsid w:val="0074275D"/>
    <w:rsid w:val="00745664"/>
    <w:rsid w:val="007835D5"/>
    <w:rsid w:val="00795A73"/>
    <w:rsid w:val="007B3653"/>
    <w:rsid w:val="00867BA2"/>
    <w:rsid w:val="008A7084"/>
    <w:rsid w:val="008D298D"/>
    <w:rsid w:val="009B251D"/>
    <w:rsid w:val="00A21FA6"/>
    <w:rsid w:val="00A3628C"/>
    <w:rsid w:val="00B801BC"/>
    <w:rsid w:val="00BC665E"/>
    <w:rsid w:val="00C1593C"/>
    <w:rsid w:val="00CD677E"/>
    <w:rsid w:val="00D04A7E"/>
    <w:rsid w:val="00D91FDF"/>
    <w:rsid w:val="00DB049E"/>
    <w:rsid w:val="00E16D93"/>
    <w:rsid w:val="00E51979"/>
    <w:rsid w:val="00E53D95"/>
    <w:rsid w:val="00E77967"/>
    <w:rsid w:val="00EE32CE"/>
    <w:rsid w:val="00EF4F53"/>
    <w:rsid w:val="00EF54C8"/>
    <w:rsid w:val="00F33524"/>
    <w:rsid w:val="00F60F51"/>
    <w:rsid w:val="00F63CA4"/>
    <w:rsid w:val="00F6511D"/>
    <w:rsid w:val="00F73928"/>
    <w:rsid w:val="00F8010F"/>
    <w:rsid w:val="00FA2470"/>
    <w:rsid w:val="00FD33C2"/>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FAC299"/>
  <w15:chartTrackingRefBased/>
  <w15:docId w15:val="{32874C0B-B9A5-43E2-A4C1-F26C1DCD9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Times New Roman" w:eastAsia="Times New Roman" w:hAnsi="Times New Roman"/>
      <w:sz w:val="24"/>
      <w:szCs w:val="24"/>
    </w:rPr>
  </w:style>
  <w:style w:type="paragraph" w:styleId="berschrift1">
    <w:name w:val="heading 1"/>
    <w:basedOn w:val="Standard"/>
    <w:next w:val="Standard"/>
    <w:link w:val="berschrift1Zchn"/>
    <w:qFormat/>
    <w:pPr>
      <w:keepNext/>
      <w:outlineLvl w:val="0"/>
    </w:pPr>
    <w:rPr>
      <w:rFonts w:ascii="Verdana" w:hAnsi="Verdana"/>
      <w:b/>
      <w:bCs/>
      <w:u w:val="single"/>
    </w:rPr>
  </w:style>
  <w:style w:type="paragraph" w:styleId="berschrift2">
    <w:name w:val="heading 2"/>
    <w:basedOn w:val="Standard"/>
    <w:next w:val="Standard"/>
    <w:link w:val="berschrift2Zchn"/>
    <w:uiPriority w:val="9"/>
    <w:semiHidden/>
    <w:unhideWhenUsed/>
    <w:qFormat/>
    <w:rsid w:val="00465EB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465EB1"/>
    <w:pPr>
      <w:keepNext/>
      <w:keepLines/>
      <w:spacing w:before="40"/>
      <w:outlineLvl w:val="2"/>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color w:val="0000FF"/>
      <w:u w:val="single"/>
    </w:rPr>
  </w:style>
  <w:style w:type="paragraph" w:styleId="Textkrper">
    <w:name w:val="Body Text"/>
    <w:basedOn w:val="Standard"/>
    <w:link w:val="TextkrperZchn"/>
    <w:pPr>
      <w:spacing w:line="360" w:lineRule="exact"/>
      <w:jc w:val="both"/>
    </w:pPr>
    <w:rPr>
      <w:rFonts w:ascii="Verdana" w:hAnsi="Verdana"/>
    </w:rPr>
  </w:style>
  <w:style w:type="character" w:customStyle="1" w:styleId="TextkrperZchn">
    <w:name w:val="Textkörper Zchn"/>
    <w:link w:val="Textkrper"/>
    <w:rPr>
      <w:rFonts w:ascii="Verdana" w:eastAsia="Times New Roman" w:hAnsi="Verdana" w:cs="Times New Roman"/>
      <w:sz w:val="24"/>
      <w:szCs w:val="24"/>
      <w:lang w:eastAsia="de-DE"/>
    </w:rPr>
  </w:style>
  <w:style w:type="paragraph" w:styleId="Sprechblasentext">
    <w:name w:val="Balloon Text"/>
    <w:basedOn w:val="Standard"/>
    <w:link w:val="SprechblasentextZchn"/>
    <w:semiHidden/>
    <w:rPr>
      <w:rFonts w:ascii="Tahoma" w:hAnsi="Tahoma" w:cs="Tahoma"/>
      <w:sz w:val="16"/>
      <w:szCs w:val="16"/>
    </w:rPr>
  </w:style>
  <w:style w:type="character" w:customStyle="1" w:styleId="SprechblasentextZchn">
    <w:name w:val="Sprechblasentext Zchn"/>
    <w:link w:val="Sprechblasentext"/>
    <w:semiHidden/>
    <w:rPr>
      <w:rFonts w:ascii="Tahoma" w:eastAsia="Times New Roman" w:hAnsi="Tahoma" w:cs="Tahoma"/>
      <w:sz w:val="16"/>
      <w:szCs w:val="16"/>
      <w:lang w:eastAsia="de-DE"/>
    </w:rPr>
  </w:style>
  <w:style w:type="paragraph" w:styleId="Kopfzeile">
    <w:name w:val="header"/>
    <w:basedOn w:val="Standard"/>
    <w:link w:val="KopfzeileZchn"/>
    <w:pPr>
      <w:tabs>
        <w:tab w:val="center" w:pos="4536"/>
        <w:tab w:val="right" w:pos="9072"/>
      </w:tabs>
    </w:pPr>
  </w:style>
  <w:style w:type="character" w:customStyle="1" w:styleId="KopfzeileZchn">
    <w:name w:val="Kopfzeile Zchn"/>
    <w:link w:val="Kopfzeile"/>
    <w:rPr>
      <w:rFonts w:ascii="Times New Roman" w:eastAsia="Times New Roman" w:hAnsi="Times New Roman" w:cs="Times New Roman"/>
      <w:sz w:val="24"/>
      <w:szCs w:val="24"/>
      <w:lang w:eastAsia="de-DE"/>
    </w:rPr>
  </w:style>
  <w:style w:type="character" w:styleId="Seitenzahl">
    <w:name w:val="page numbe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link w:val="Fuzeile"/>
    <w:uiPriority w:val="99"/>
    <w:rPr>
      <w:rFonts w:ascii="Times New Roman" w:eastAsia="Times New Roman" w:hAnsi="Times New Roman"/>
      <w:sz w:val="24"/>
      <w:szCs w:val="24"/>
    </w:rPr>
  </w:style>
  <w:style w:type="character" w:customStyle="1" w:styleId="berschrift1Zchn">
    <w:name w:val="Überschrift 1 Zchn"/>
    <w:basedOn w:val="Absatz-Standardschriftart"/>
    <w:link w:val="berschrift1"/>
    <w:rPr>
      <w:rFonts w:ascii="Verdana" w:eastAsia="Times New Roman" w:hAnsi="Verdana"/>
      <w:b/>
      <w:bCs/>
      <w:sz w:val="24"/>
      <w:szCs w:val="24"/>
      <w:u w:val="single"/>
    </w:rPr>
  </w:style>
  <w:style w:type="paragraph" w:styleId="StandardWeb">
    <w:name w:val="Normal (Web)"/>
    <w:basedOn w:val="Standard"/>
    <w:uiPriority w:val="99"/>
    <w:unhideWhenUsed/>
    <w:pPr>
      <w:spacing w:before="100" w:beforeAutospacing="1" w:after="100" w:afterAutospacing="1"/>
    </w:pPr>
  </w:style>
  <w:style w:type="paragraph" w:customStyle="1" w:styleId="AbsatzFett">
    <w:name w:val="Absatz Fett"/>
    <w:rsid w:val="00465EB1"/>
    <w:pPr>
      <w:keepNext/>
      <w:widowControl w:val="0"/>
      <w:spacing w:before="240" w:after="80"/>
    </w:pPr>
    <w:rPr>
      <w:rFonts w:ascii="Courier" w:eastAsia="Times New Roman" w:hAnsi="Courier"/>
      <w:b/>
      <w:snapToGrid w:val="0"/>
      <w:sz w:val="24"/>
    </w:rPr>
  </w:style>
  <w:style w:type="character" w:customStyle="1" w:styleId="berschrift2Zchn">
    <w:name w:val="Überschrift 2 Zchn"/>
    <w:basedOn w:val="Absatz-Standardschriftart"/>
    <w:link w:val="berschrift2"/>
    <w:uiPriority w:val="9"/>
    <w:semiHidden/>
    <w:rsid w:val="00465EB1"/>
    <w:rPr>
      <w:rFonts w:asciiTheme="majorHAnsi" w:eastAsiaTheme="majorEastAsia" w:hAnsiTheme="majorHAnsi" w:cstheme="majorBidi"/>
      <w:color w:val="2E74B5" w:themeColor="accent1" w:themeShade="BF"/>
      <w:sz w:val="26"/>
      <w:szCs w:val="26"/>
    </w:rPr>
  </w:style>
  <w:style w:type="character" w:customStyle="1" w:styleId="berschrift3Zchn">
    <w:name w:val="Überschrift 3 Zchn"/>
    <w:basedOn w:val="Absatz-Standardschriftart"/>
    <w:link w:val="berschrift3"/>
    <w:uiPriority w:val="9"/>
    <w:semiHidden/>
    <w:rsid w:val="00465EB1"/>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927968">
      <w:bodyDiv w:val="1"/>
      <w:marLeft w:val="0"/>
      <w:marRight w:val="0"/>
      <w:marTop w:val="0"/>
      <w:marBottom w:val="0"/>
      <w:divBdr>
        <w:top w:val="none" w:sz="0" w:space="0" w:color="auto"/>
        <w:left w:val="none" w:sz="0" w:space="0" w:color="auto"/>
        <w:bottom w:val="none" w:sz="0" w:space="0" w:color="auto"/>
        <w:right w:val="none" w:sz="0" w:space="0" w:color="auto"/>
      </w:divBdr>
    </w:div>
    <w:div w:id="261763313">
      <w:bodyDiv w:val="1"/>
      <w:marLeft w:val="0"/>
      <w:marRight w:val="0"/>
      <w:marTop w:val="0"/>
      <w:marBottom w:val="0"/>
      <w:divBdr>
        <w:top w:val="none" w:sz="0" w:space="0" w:color="auto"/>
        <w:left w:val="none" w:sz="0" w:space="0" w:color="auto"/>
        <w:bottom w:val="none" w:sz="0" w:space="0" w:color="auto"/>
        <w:right w:val="none" w:sz="0" w:space="0" w:color="auto"/>
      </w:divBdr>
    </w:div>
    <w:div w:id="306282213">
      <w:bodyDiv w:val="1"/>
      <w:marLeft w:val="0"/>
      <w:marRight w:val="0"/>
      <w:marTop w:val="0"/>
      <w:marBottom w:val="0"/>
      <w:divBdr>
        <w:top w:val="none" w:sz="0" w:space="0" w:color="auto"/>
        <w:left w:val="none" w:sz="0" w:space="0" w:color="auto"/>
        <w:bottom w:val="none" w:sz="0" w:space="0" w:color="auto"/>
        <w:right w:val="none" w:sz="0" w:space="0" w:color="auto"/>
      </w:divBdr>
    </w:div>
    <w:div w:id="1061637913">
      <w:bodyDiv w:val="1"/>
      <w:marLeft w:val="0"/>
      <w:marRight w:val="0"/>
      <w:marTop w:val="0"/>
      <w:marBottom w:val="0"/>
      <w:divBdr>
        <w:top w:val="none" w:sz="0" w:space="0" w:color="auto"/>
        <w:left w:val="none" w:sz="0" w:space="0" w:color="auto"/>
        <w:bottom w:val="none" w:sz="0" w:space="0" w:color="auto"/>
        <w:right w:val="none" w:sz="0" w:space="0" w:color="auto"/>
      </w:divBdr>
    </w:div>
    <w:div w:id="1065564363">
      <w:bodyDiv w:val="1"/>
      <w:marLeft w:val="0"/>
      <w:marRight w:val="0"/>
      <w:marTop w:val="0"/>
      <w:marBottom w:val="0"/>
      <w:divBdr>
        <w:top w:val="none" w:sz="0" w:space="0" w:color="auto"/>
        <w:left w:val="none" w:sz="0" w:space="0" w:color="auto"/>
        <w:bottom w:val="none" w:sz="0" w:space="0" w:color="auto"/>
        <w:right w:val="none" w:sz="0" w:space="0" w:color="auto"/>
      </w:divBdr>
    </w:div>
    <w:div w:id="1078405820">
      <w:bodyDiv w:val="1"/>
      <w:marLeft w:val="0"/>
      <w:marRight w:val="0"/>
      <w:marTop w:val="0"/>
      <w:marBottom w:val="0"/>
      <w:divBdr>
        <w:top w:val="none" w:sz="0" w:space="0" w:color="auto"/>
        <w:left w:val="none" w:sz="0" w:space="0" w:color="auto"/>
        <w:bottom w:val="none" w:sz="0" w:space="0" w:color="auto"/>
        <w:right w:val="none" w:sz="0" w:space="0" w:color="auto"/>
      </w:divBdr>
    </w:div>
    <w:div w:id="1106972130">
      <w:bodyDiv w:val="1"/>
      <w:marLeft w:val="0"/>
      <w:marRight w:val="0"/>
      <w:marTop w:val="0"/>
      <w:marBottom w:val="0"/>
      <w:divBdr>
        <w:top w:val="none" w:sz="0" w:space="0" w:color="auto"/>
        <w:left w:val="none" w:sz="0" w:space="0" w:color="auto"/>
        <w:bottom w:val="none" w:sz="0" w:space="0" w:color="auto"/>
        <w:right w:val="none" w:sz="0" w:space="0" w:color="auto"/>
      </w:divBdr>
    </w:div>
    <w:div w:id="1196309957">
      <w:bodyDiv w:val="1"/>
      <w:marLeft w:val="0"/>
      <w:marRight w:val="0"/>
      <w:marTop w:val="0"/>
      <w:marBottom w:val="0"/>
      <w:divBdr>
        <w:top w:val="none" w:sz="0" w:space="0" w:color="auto"/>
        <w:left w:val="none" w:sz="0" w:space="0" w:color="auto"/>
        <w:bottom w:val="none" w:sz="0" w:space="0" w:color="auto"/>
        <w:right w:val="none" w:sz="0" w:space="0" w:color="auto"/>
      </w:divBdr>
    </w:div>
    <w:div w:id="1544632967">
      <w:bodyDiv w:val="1"/>
      <w:marLeft w:val="0"/>
      <w:marRight w:val="0"/>
      <w:marTop w:val="0"/>
      <w:marBottom w:val="0"/>
      <w:divBdr>
        <w:top w:val="none" w:sz="0" w:space="0" w:color="auto"/>
        <w:left w:val="none" w:sz="0" w:space="0" w:color="auto"/>
        <w:bottom w:val="none" w:sz="0" w:space="0" w:color="auto"/>
        <w:right w:val="none" w:sz="0" w:space="0" w:color="auto"/>
      </w:divBdr>
    </w:div>
    <w:div w:id="1728458041">
      <w:bodyDiv w:val="1"/>
      <w:marLeft w:val="0"/>
      <w:marRight w:val="0"/>
      <w:marTop w:val="0"/>
      <w:marBottom w:val="0"/>
      <w:divBdr>
        <w:top w:val="none" w:sz="0" w:space="0" w:color="auto"/>
        <w:left w:val="none" w:sz="0" w:space="0" w:color="auto"/>
        <w:bottom w:val="none" w:sz="0" w:space="0" w:color="auto"/>
        <w:right w:val="none" w:sz="0" w:space="0" w:color="auto"/>
      </w:divBdr>
    </w:div>
    <w:div w:id="187638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415</Words>
  <Characters>3676</Characters>
  <Application>Microsoft Office Word</Application>
  <DocSecurity>0</DocSecurity>
  <Lines>175</Lines>
  <Paragraphs>123</Paragraphs>
  <ScaleCrop>false</ScaleCrop>
  <HeadingPairs>
    <vt:vector size="2" baseType="variant">
      <vt:variant>
        <vt:lpstr>Titel</vt:lpstr>
      </vt:variant>
      <vt:variant>
        <vt:i4>1</vt:i4>
      </vt:variant>
    </vt:vector>
  </HeadingPairs>
  <TitlesOfParts>
    <vt:vector size="1" baseType="lpstr">
      <vt:lpstr>„Lüftungskonzept DIN 1946-6“ von Hottgenroth/ETU Software</vt:lpstr>
    </vt:vector>
  </TitlesOfParts>
  <Company>HSETU</Company>
  <LinksUpToDate>false</LinksUpToDate>
  <CharactersWithSpaces>3968</CharactersWithSpaces>
  <SharedDoc>false</SharedDoc>
  <HLinks>
    <vt:vector size="18" baseType="variant">
      <vt:variant>
        <vt:i4>7340143</vt:i4>
      </vt:variant>
      <vt:variant>
        <vt:i4>6</vt:i4>
      </vt:variant>
      <vt:variant>
        <vt:i4>0</vt:i4>
      </vt:variant>
      <vt:variant>
        <vt:i4>5</vt:i4>
      </vt:variant>
      <vt:variant>
        <vt:lpwstr>http://www.etu.de/</vt:lpwstr>
      </vt:variant>
      <vt:variant>
        <vt:lpwstr/>
      </vt:variant>
      <vt:variant>
        <vt:i4>7471203</vt:i4>
      </vt:variant>
      <vt:variant>
        <vt:i4>3</vt:i4>
      </vt:variant>
      <vt:variant>
        <vt:i4>0</vt:i4>
      </vt:variant>
      <vt:variant>
        <vt:i4>5</vt:i4>
      </vt:variant>
      <vt:variant>
        <vt:lpwstr>http://www.hottgenroth.de/</vt:lpwstr>
      </vt:variant>
      <vt:variant>
        <vt:lpwstr/>
      </vt:variant>
      <vt:variant>
        <vt:i4>917540</vt:i4>
      </vt:variant>
      <vt:variant>
        <vt:i4>0</vt:i4>
      </vt:variant>
      <vt:variant>
        <vt:i4>0</vt:i4>
      </vt:variant>
      <vt:variant>
        <vt:i4>5</vt:i4>
      </vt:variant>
      <vt:variant>
        <vt:lpwstr>mailto:vertrieb@etu.de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„Lüftungskonzept DIN 1946-6“ von Hottgenroth/ETU Software</dc:title>
  <dc:subject/>
  <dc:creator>Guido Wollenberg</dc:creator>
  <cp:keywords>Presseinfo</cp:keywords>
  <cp:lastModifiedBy>Jan Desery</cp:lastModifiedBy>
  <cp:revision>20</cp:revision>
  <cp:lastPrinted>2020-06-19T12:45:00Z</cp:lastPrinted>
  <dcterms:created xsi:type="dcterms:W3CDTF">2024-06-06T13:09:00Z</dcterms:created>
  <dcterms:modified xsi:type="dcterms:W3CDTF">2024-09-27T13:29:00Z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-1877057086</vt:i4>
  </property>
</Properties>
</file>